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86MS0043-01-2023-012413-36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имеющего гражданство РФ, </w:t>
      </w:r>
      <w:r>
        <w:rPr>
          <w:rFonts w:ascii="Times New Roman" w:eastAsia="Times New Roman" w:hAnsi="Times New Roman" w:cs="Times New Roman"/>
        </w:rPr>
        <w:t xml:space="preserve">работающего хлебопекарня </w:t>
      </w:r>
      <w:r>
        <w:rPr>
          <w:rStyle w:val="cat-UserDefinedgrp-3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7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18810086220000752150 от 17.08.2023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 12.6 Кодекса РФ об АП, вступившим в законную силу 28.08.2023,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привлечен к административной ответственности в виде штрафа в размере 1000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483623 от 05 декабря 2023 года,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18810086220000752150 </w:t>
      </w:r>
      <w:r>
        <w:rPr>
          <w:rFonts w:ascii="Times New Roman" w:eastAsia="Times New Roman" w:hAnsi="Times New Roman" w:cs="Times New Roman"/>
        </w:rPr>
        <w:t>от 17 августа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12.6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1000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справка на физическое лицо; параметры поиска; копия паспорта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17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28 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обязан был уплатить административный штраф не позднее 27 октября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2000 (две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0412365400435021902320139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8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</w:t>
      </w:r>
      <w:r>
        <w:rPr>
          <w:rFonts w:ascii="Times New Roman" w:eastAsia="Times New Roman" w:hAnsi="Times New Roman" w:cs="Times New Roman"/>
        </w:rPr>
        <w:t>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